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Английский язык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708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88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44,53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38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46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52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Передача на письме при помощи транскрипционных знаков фонетической формы слова, соблюдение правильного ударения в словах и фразах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88,42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Имена прилагательные в положительной, сравнительной и превосходной степенях, образованные по правилу, а также исключения. Порядок прилагательных в именном словосочетании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7,91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Аффиксы как элементы словообразования глаголов, имен существительных, прилагательных, наречий, числительных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31,21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Конструкции с глаголами на –ing/to-Infinitive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72,6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Согласование времен и косвенная речь. Сложносочиненные предложения с союзами and, but, or. Сложноподчиненные предложения с союзами и союзными словами what, when, why, which, that, who, if, because, that’s why, than, so, for, since, during, so that, unless. Условные предложения реального и нереального характера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78,11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Многозначность лексических единиц. Синонимы. Лексическая сочетаемость. Коллокации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76,69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Фразовые глаголы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68,5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Модальные глаголы и их эквиваленты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73,59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Понимание основного содержания сообщений, публикаций научно-познавательного характера, произведений/отрывков из художественной литературы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44,63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Полное и точное понимание информации прагматических текстов, публикаций научно-популярного характера, произведений/отрывков из произведений художественной литературы. Понимание необходимой/интересующей информации из текста статьи, проспекта, художественного текста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5,51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Основные требования к школьному образованию, сформулированные в Федеральном компоненте государственных образовательных стандартов начального общего, основного общего и среднего (полного) общего образования (ФК ГОС). Основные требования к школьному образованию в области иностранных языков, сформулированные в Федеральном государственном образовательном стандарте основного общего образования (ФГОС ООО). Основные требования к школьному образованию в области иностранных языков, сформулированные в Федеральном государственном образовательном стандарте среднего общего образования (ФГОС СОО). Общее понятие об уроке английского языка и его структуре (модулях). Типы уроков английского языка по основной дидактической цели урока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79,52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Системно-деятельностный подход к организации учебного процесса в обучении английскому языку. Коммуникативный подход как теоретическая основа методики обучения английскому языку. Интегрированный подход в обучении английскому языку как способ активизации у учащихся знаний английского языка в процессе познавательной деятельности. Содержание и структура предмета «Английский язык». Проектирование учебного содержания школьных курсов по английскому языку / уроков по английскому языку. Способы методической адаптации содержания школьных курсов по английскому языку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48,02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Средства обучения иностранному языку: понятие, классификация, характеристика. Учебно-методические комплексы школьных курсов иностранного языка. ИКТ в обучении английскому языку.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4,1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Умения познавательной деятельности учащихсяв процессе обучения английскому языку: общая характеристика, классификация. Проектирование процесса формирования умений. Методические пути и средства развития предметных и метапредметных умений в процессе обучения английскому языку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45,9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Использование проектной деятельности в процессе обучения английскому языку.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2,4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Методы и приемы обучения иностранному языку: понятие, классификация. Образовательные технологии в обучении английскому языку. Выбор методов, приемов, технологий обучения учителем в соответствии с целями урока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7,63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Умения познавательной деятельности учащихся в процессе обучения английскому языку: общая характеристика, классификация. Проектирование процесса формирования умений. Методические пути и средства развития предметных и метапредметных умений в процессе обучения английскому языку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29,1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57,2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1,55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64,27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0,85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82,06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91,38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65,4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сущностные и содержательные характеристики различныхформ и методоввоспитательной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76,41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75,24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27,5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54,41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43,67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